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b w:val="1"/>
          <w:sz w:val="36"/>
          <w:vertAlign w:val="baseline"/>
          <w:rtl w:val="0"/>
        </w:rPr>
        <w:t xml:space="preserve">Unit Planning Guide: Grade 6 Unit </w:t>
      </w:r>
      <w:r w:rsidRPr="00000000" w:rsidR="00000000" w:rsidDel="00000000">
        <w:rPr>
          <w:b w:val="1"/>
          <w:sz w:val="36"/>
          <w:rtl w:val="0"/>
        </w:rPr>
        <w:t xml:space="preserve">5</w:t>
      </w:r>
      <w:r w:rsidRPr="00000000" w:rsidR="00000000" w:rsidDel="00000000">
        <w:rPr>
          <w:b w:val="1"/>
          <w:sz w:val="36"/>
          <w:vertAlign w:val="baseline"/>
          <w:rtl w:val="0"/>
        </w:rPr>
        <w:t xml:space="preserve"> (Weeks </w:t>
      </w:r>
      <w:r w:rsidRPr="00000000" w:rsidR="00000000" w:rsidDel="00000000">
        <w:rPr>
          <w:b w:val="1"/>
          <w:sz w:val="36"/>
          <w:rtl w:val="0"/>
        </w:rPr>
        <w:t xml:space="preserve">11-15</w:t>
      </w:r>
      <w:r w:rsidRPr="00000000" w:rsidR="00000000" w:rsidDel="00000000">
        <w:rPr>
          <w:b w:val="1"/>
          <w:sz w:val="36"/>
          <w:vertAlign w:val="baseline"/>
          <w:rtl w:val="0"/>
        </w:rPr>
        <w:t xml:space="preserve">)</w:t>
      </w: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Unit Title: Grade 6 Unit </w:t>
            </w:r>
            <w:r w:rsidRPr="00000000" w:rsidR="00000000" w:rsidDel="00000000">
              <w:rPr>
                <w:rtl w:val="0"/>
              </w:rPr>
              <w:t xml:space="preserve">3 “Poetry”</w:t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Pacing (Duration of Unit): 5 Weeks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Grade: 6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Buffer Day(s):3-5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e5b8b7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4"/>
                <w:vertAlign w:val="baseline"/>
                <w:rtl w:val="0"/>
              </w:rPr>
              <w:t xml:space="preserve">Desired Results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Transfer Goals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color w:val="000000"/>
                <w:sz w:val="20"/>
                <w:vertAlign w:val="baseline"/>
                <w:rtl w:val="0"/>
              </w:rPr>
              <w:t xml:space="preserve">Students will be able to independently use their learning to: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Develop the habit of reading for enjoyment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Established Goals (2011 MA Curriculum Frameworks Standards Incorporating the Common Core State Standards)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21090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1805"/>
        <w:gridCol w:w="9285"/>
      </w:tblGrid>
      <w:t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Standards (Priority Standards in bold):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RL.6.1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 Cite strong and thorough textual evidence to support analysis of what the text says explicitly as well as inferences drawn from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RL.6.4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 Determine the meaning of words and phrases as they are used in the text, including figurative and connotative meanings; analyze the cumulative impact of specific word choices on meaning and tone (e.g., how the language evokes a sense of time and place; how it sets a formal or informal tone).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RL.6.5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 Analyze how an author’s choices concerning how to structure a text, order events within it (e.g., parallel plots), and manipulate time (e.g., pacing, flashbacks) create such effects as mystery, tension, or surprise</w:t>
            </w:r>
            <w:r w:rsidRPr="00000000" w:rsidR="00000000" w:rsidDel="00000000">
              <w:rPr>
                <w:sz w:val="18"/>
                <w:rtl w:val="0"/>
              </w:rPr>
              <w:t xml:space="preserve">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RI.6.5 Analyze how a particular sentence, paragraph, chapter, or sections fits into the  overall structure of a text and contributes to the development of the ideas.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RI.6.1</w:t>
            </w:r>
            <w:r w:rsidRPr="00000000" w:rsidR="00000000" w:rsidDel="00000000">
              <w:rPr>
                <w:sz w:val="18"/>
                <w:rtl w:val="0"/>
              </w:rPr>
              <w:t xml:space="preserve"> Cite strong and thorough textual evidence to support analysis of what the text says explicitly as well as inferences drawn from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RI.6.2</w:t>
            </w:r>
            <w:r w:rsidRPr="00000000" w:rsidR="00000000" w:rsidDel="00000000">
              <w:rPr>
                <w:sz w:val="18"/>
                <w:rtl w:val="0"/>
              </w:rPr>
              <w:t xml:space="preserve"> Determine a theme or central idea of a text and analyze in detail its development over the course of the text, including how it emerges and is shaped and refined by specific details; provide an objective summary of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RI.6.4</w:t>
            </w:r>
            <w:r w:rsidRPr="00000000" w:rsidR="00000000" w:rsidDel="00000000">
              <w:rPr>
                <w:sz w:val="18"/>
                <w:rtl w:val="0"/>
              </w:rPr>
              <w:t xml:space="preserve"> Determine the meaning of words and phrases as they are used in the text, including figurative and connotative meanings; analyze the cumulative impact of specific word choices on meaning and tone (e.g., how the language evokes a sense of time and place; how it sets a formal or informal tone).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RI.6.6</w:t>
            </w:r>
            <w:r w:rsidRPr="00000000" w:rsidR="00000000" w:rsidDel="00000000">
              <w:rPr>
                <w:sz w:val="18"/>
                <w:rtl w:val="0"/>
              </w:rPr>
              <w:t xml:space="preserve"> Determine an author’s point of view or purpose in a text and explain how it is conveyed in the text.</w:t>
            </w:r>
          </w:p>
          <w:p w:rsidP="00000000" w:rsidRPr="00000000" w:rsidR="00000000" w:rsidDel="00000000" w:rsidRDefault="00000000">
            <w:pPr>
              <w:tabs>
                <w:tab w:val="left" w:pos="270"/>
                <w:tab w:val="left" w:pos="630"/>
              </w:tabs>
              <w:spacing w:lineRule="auto" w:after="0"/>
              <w:ind w:left="270" w:right="-113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W.6.3.MA.3.A. Demonstrates understanding of traditional literature by writing short narratives, poems, or scripts that use the conventions of myths, legends, or epics.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270"/>
                <w:tab w:val="left" w:pos="630"/>
              </w:tabs>
              <w:spacing w:lineRule="auto" w:after="0"/>
              <w:ind w:left="270" w:right="-113"/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W.6.3</w:t>
            </w:r>
            <w:r w:rsidRPr="00000000" w:rsidR="00000000" w:rsidDel="00000000">
              <w:rPr>
                <w:sz w:val="18"/>
                <w:rtl w:val="0"/>
              </w:rPr>
              <w:t xml:space="preserve">d. Use precise words and phrases, relevant descriptive details, and sensory language to convey experiences and events.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270"/>
                <w:tab w:val="left" w:pos="630"/>
              </w:tabs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W.6.9. Draw evidence literary or informational texts to support analysis, reflection, and research.</w:t>
            </w:r>
          </w:p>
          <w:p w:rsidP="00000000" w:rsidRPr="00000000" w:rsidR="00000000" w:rsidDel="00000000" w:rsidRDefault="00000000">
            <w:pPr>
              <w:tabs>
                <w:tab w:val="left" w:pos="270"/>
                <w:tab w:val="left" w:pos="630"/>
              </w:tabs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W.6.9a Apply grade 6 Reading standards to literature (e.g., “Compare and contrast text in different forms or genres [e.g., stories and poems]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 w:right="-113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SL.6.1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 d. Review the key ideas expressed and demonstrate understanding of multiple perspectives through reflection and paraphrasing. </w:t>
            </w:r>
            <w:r w:rsidRPr="00000000" w:rsidR="00000000" w:rsidDel="00000000">
              <w:rPr>
                <w:b w:val="1"/>
                <w:sz w:val="20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L.6.1 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Demonstrate command of the conventions of standard English grammar and usage when writing or speaking.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L.6.4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 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Determine or clarify the meaning of unknown and multiple-meaning words and phrases based on </w:t>
            </w:r>
            <w:r w:rsidRPr="00000000" w:rsidR="00000000" w:rsidDel="00000000">
              <w:rPr>
                <w:b w:val="1"/>
                <w:i w:val="1"/>
                <w:sz w:val="18"/>
                <w:rtl w:val="0"/>
              </w:rPr>
              <w:t xml:space="preserve">grade 6 reading and content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, choosing flexibly from a range of strategies.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a. Use context (e.g., the overall meaning of a sentence or paragraph; a word’s position or function in a sentence) as a clue to the meaning of a word or phrase.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L.6.5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 Demonstrate understanding of figurative language, word relationships, and nuances in word meanings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WIDA for English Language Learners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Standard 1: ELLs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communicate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for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Social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and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Instructional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purposes within the school setting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Standard 2:  ELLs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communicate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information, ideas and concepts necessary for academic success in the content area of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Language Arts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6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Meaning (*Mostly assessed through Performance Tasks/Assessments)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7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348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vertAlign w:val="baseline"/>
                <w:rtl w:val="0"/>
              </w:rPr>
              <w:t xml:space="preserve">Big Ideas:</w:t>
            </w: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vertAlign w:val="baseline"/>
                <w:rtl w:val="0"/>
              </w:rPr>
              <w:t xml:space="preserve">Essential Questions: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8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Acquisition (*Mostly assessed through traditional summative assessments)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432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Knowledge: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Skills: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right" w:pos="14400"/>
      </w:tabs>
      <w:spacing w:lineRule="auto" w:after="0" w:line="240" w:before="0"/>
      <w:ind w:left="0" w:firstLine="0"/>
      <w:contextualSpacing w:val="0"/>
    </w:pPr>
    <w:r w:rsidRPr="00000000" w:rsidR="00000000" w:rsidDel="00000000">
      <w:rPr>
        <w:rFonts w:cs="Cambria" w:hAnsi="Cambria" w:eastAsia="Cambria" w:ascii="Cambria"/>
        <w:sz w:val="20"/>
        <w:vertAlign w:val="baseli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Cambria" w:hAnsi="Cambria" w:eastAsia="Cambria" w:ascii="Cambria"/>
          <w:sz w:val="20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spacing w:lineRule="auto" w:after="0" w:line="240" w:before="0"/>
      <w:ind w:left="0" w:firstLine="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sz w:val="20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6 ELA Unit 5.docx</dc:title>
</cp:coreProperties>
</file>